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5706" w14:textId="77777777" w:rsidR="00447BC0" w:rsidRPr="00447BC0" w:rsidRDefault="00447BC0" w:rsidP="00447BC0">
      <w:pPr>
        <w:spacing w:after="0" w:line="240" w:lineRule="auto"/>
        <w:rPr>
          <w:rFonts w:ascii="Arial" w:eastAsia="Calibri" w:hAnsi="Arial" w:cs="Arial"/>
          <w:sz w:val="20"/>
          <w:szCs w:val="20"/>
          <w:lang w:val="sr-Latn-RS"/>
        </w:rPr>
      </w:pPr>
      <w:r w:rsidRPr="00447BC0">
        <w:rPr>
          <w:rFonts w:ascii="Arial" w:eastAsia="Times New Roman" w:hAnsi="Arial" w:cs="Arial"/>
          <w:b/>
          <w:bCs/>
          <w:noProof/>
          <w:color w:val="888888"/>
          <w:sz w:val="24"/>
          <w:szCs w:val="24"/>
          <w:shd w:val="clear" w:color="auto" w:fill="FFFFFF"/>
          <w:lang w:val="sr-Latn-RS" w:eastAsia="sr-Cyrl-RS"/>
        </w:rPr>
        <w:drawing>
          <wp:inline distT="0" distB="0" distL="0" distR="0" wp14:anchorId="7908BBF7" wp14:editId="5F1FDE40">
            <wp:extent cx="790575" cy="8382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7BC0">
        <w:rPr>
          <w:rFonts w:ascii="Calibri" w:eastAsia="Calibri" w:hAnsi="Calibri" w:cs="Times New Roman"/>
          <w:noProof/>
          <w:lang w:val="sr-Latn-RS"/>
        </w:rPr>
        <w:t xml:space="preserve">                                                                                       </w:t>
      </w:r>
      <w:r w:rsidRPr="00447BC0">
        <w:rPr>
          <w:rFonts w:ascii="Calibri" w:eastAsia="Calibri" w:hAnsi="Calibri" w:cs="Times New Roman"/>
          <w:noProof/>
          <w:lang w:val="sr-Latn-RS"/>
        </w:rPr>
        <w:drawing>
          <wp:inline distT="0" distB="0" distL="0" distR="0" wp14:anchorId="649E3043" wp14:editId="23AE7393">
            <wp:extent cx="1476190" cy="876190"/>
            <wp:effectExtent l="0" t="0" r="0" b="635"/>
            <wp:docPr id="15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58AD6A45-246C-1EF3-4C59-F6D663703C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58AD6A45-246C-1EF3-4C59-F6D663703C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190" cy="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BC0">
        <w:rPr>
          <w:rFonts w:ascii="Calibri" w:eastAsia="Calibri" w:hAnsi="Calibri" w:cs="Times New Roman"/>
          <w:noProof/>
          <w:lang w:val="sr-Latn-RS"/>
        </w:rPr>
        <w:drawing>
          <wp:inline distT="0" distB="0" distL="0" distR="0" wp14:anchorId="7694A431" wp14:editId="3F6BEB2E">
            <wp:extent cx="829128" cy="829128"/>
            <wp:effectExtent l="0" t="0" r="9525" b="9525"/>
            <wp:docPr id="16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F1930FEC-EF18-DDBA-3831-65E17C726C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F1930FEC-EF18-DDBA-3831-65E17C726C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9128" cy="82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B3C9A" w14:textId="77777777" w:rsidR="00447BC0" w:rsidRPr="00447BC0" w:rsidRDefault="00447BC0" w:rsidP="00447BC0">
      <w:pPr>
        <w:shd w:val="clear" w:color="auto" w:fill="FFFFFF"/>
        <w:spacing w:after="240" w:line="240" w:lineRule="auto"/>
        <w:ind w:right="-563"/>
        <w:jc w:val="both"/>
        <w:rPr>
          <w:rFonts w:ascii="Calibri" w:eastAsia="+mj-ea" w:hAnsi="Calibri" w:cs="Calibri"/>
          <w:color w:val="000000"/>
          <w:kern w:val="24"/>
          <w:sz w:val="28"/>
          <w:szCs w:val="28"/>
          <w:lang w:val="sr-Latn-RS" w:eastAsia="sr-Cyrl-RS"/>
        </w:rPr>
      </w:pPr>
      <w:r w:rsidRPr="00447BC0">
        <w:rPr>
          <w:rFonts w:ascii="Calibri" w:eastAsia="+mj-ea" w:hAnsi="Calibri" w:cs="Calibri"/>
          <w:color w:val="000000"/>
          <w:kern w:val="24"/>
          <w:sz w:val="44"/>
          <w:szCs w:val="44"/>
          <w:lang w:eastAsia="sr-Cyrl-RS"/>
        </w:rPr>
        <w:t>PROGRAM SUPERSCHOOLS- PROGRAM SUPERŠKOLE</w:t>
      </w:r>
      <w:r w:rsidRPr="00447BC0">
        <w:rPr>
          <w:rFonts w:ascii="Calibri" w:eastAsia="+mj-ea" w:hAnsi="Calibri" w:cs="Calibri"/>
          <w:color w:val="000000"/>
          <w:kern w:val="24"/>
          <w:sz w:val="44"/>
          <w:szCs w:val="44"/>
          <w:lang w:eastAsia="sr-Cyrl-RS"/>
        </w:rPr>
        <w:br/>
      </w:r>
      <w:r w:rsidRPr="00447BC0">
        <w:rPr>
          <w:rFonts w:ascii="Calibri" w:eastAsia="+mj-ea" w:hAnsi="Calibri" w:cs="Calibri"/>
          <w:color w:val="000000"/>
          <w:kern w:val="24"/>
          <w:sz w:val="28"/>
          <w:szCs w:val="28"/>
          <w:lang w:eastAsia="sr-Cyrl-RS"/>
        </w:rPr>
        <w:br/>
        <w:t xml:space="preserve">RYCO Superschools je program školskih odnosno razmena učenika Zapadnog Balkana sa ciljem da podrži proces izgradnje mira i pomirenja kao I proces interkulturalnog učenja izmedju učenika, škola i njihovih lokalnih zajednica. Program je deo multi donatorskog projekta” Western Balkans School Exchange Scheme” koji se sufinansira od strane Evropske unije I Nemačkog federalnog ministarstva za Ekonomski razvoj (BMZ) a implementira se od strane and Deutsche Gesellschaft für Internationale Zusammenarbeit (GIZ) zajedno sa Regionalnom kancelarijom mladih Zapadnog Balkana Regional </w:t>
      </w:r>
      <w:r w:rsidRPr="00447BC0">
        <w:rPr>
          <w:rFonts w:ascii="Calibri" w:eastAsia="+mj-ea" w:hAnsi="Calibri" w:cs="Calibri"/>
          <w:color w:val="000000"/>
          <w:kern w:val="24"/>
          <w:sz w:val="28"/>
          <w:szCs w:val="28"/>
          <w:lang w:val="sr-Latn-RS" w:eastAsia="sr-Cyrl-RS"/>
        </w:rPr>
        <w:t xml:space="preserve"> Youth Cooperation Office (RYCO)</w:t>
      </w:r>
      <w:r w:rsidRPr="00447BC0">
        <w:rPr>
          <w:rFonts w:ascii="Calibri" w:eastAsia="+mj-ea" w:hAnsi="Calibri" w:cs="Calibri"/>
          <w:color w:val="000000"/>
          <w:kern w:val="24"/>
          <w:sz w:val="28"/>
          <w:szCs w:val="28"/>
          <w:lang w:eastAsia="sr-Cyrl-RS"/>
        </w:rPr>
        <w:t>.</w:t>
      </w:r>
      <w:r w:rsidRPr="00447BC0">
        <w:rPr>
          <w:rFonts w:ascii="Calibri" w:eastAsia="+mj-ea" w:hAnsi="Calibri" w:cs="Calibri"/>
          <w:color w:val="000000"/>
          <w:kern w:val="24"/>
          <w:sz w:val="28"/>
          <w:szCs w:val="28"/>
          <w:lang w:val="sr-Latn-RS" w:eastAsia="sr-Cyrl-RS"/>
        </w:rPr>
        <w:t xml:space="preserve">   </w:t>
      </w:r>
    </w:p>
    <w:p w14:paraId="772094FE" w14:textId="4CB2D596" w:rsidR="00447BC0" w:rsidRDefault="00447BC0" w:rsidP="00447BC0">
      <w:pPr>
        <w:shd w:val="clear" w:color="auto" w:fill="FFFFFF"/>
        <w:spacing w:after="240" w:line="240" w:lineRule="auto"/>
        <w:jc w:val="both"/>
        <w:rPr>
          <w:rFonts w:ascii="Calibri" w:eastAsia="+mj-ea" w:hAnsi="Calibri" w:cs="Calibri"/>
          <w:color w:val="000000"/>
          <w:kern w:val="24"/>
          <w:sz w:val="44"/>
          <w:szCs w:val="44"/>
          <w:lang w:val="sr-Latn-RS" w:eastAsia="sr-Cyrl-RS"/>
        </w:rPr>
      </w:pPr>
      <w:r w:rsidRPr="00447BC0">
        <w:rPr>
          <w:rFonts w:ascii="Calibri" w:eastAsia="+mj-ea" w:hAnsi="Calibri" w:cs="Calibri"/>
          <w:color w:val="000000"/>
          <w:kern w:val="24"/>
          <w:sz w:val="44"/>
          <w:szCs w:val="44"/>
          <w:lang w:val="sr-Latn-RS" w:eastAsia="sr-Cyrl-RS"/>
        </w:rPr>
        <w:t>PROJEKAT- UJEDINJENI NA PUTU POMIRENJA</w:t>
      </w:r>
    </w:p>
    <w:p w14:paraId="12A98597" w14:textId="77777777" w:rsidR="00CA19AE" w:rsidRDefault="00CA19AE" w:rsidP="00CA19AE">
      <w:pPr>
        <w:shd w:val="clear" w:color="auto" w:fill="FFFFFF"/>
        <w:spacing w:after="240" w:line="240" w:lineRule="auto"/>
        <w:jc w:val="both"/>
        <w:rPr>
          <w:rFonts w:ascii="Calibri" w:eastAsia="+mj-ea" w:hAnsi="Calibri" w:cs="Calibri"/>
          <w:color w:val="000000"/>
          <w:kern w:val="24"/>
          <w:sz w:val="32"/>
          <w:szCs w:val="32"/>
          <w:lang w:val="sr-Latn-RS" w:eastAsia="sr-Cyrl-RS"/>
        </w:rPr>
      </w:pPr>
      <w:r w:rsidRPr="00CA19AE">
        <w:rPr>
          <w:rFonts w:ascii="Calibri" w:eastAsia="+mj-ea" w:hAnsi="Calibri" w:cs="Calibri"/>
          <w:color w:val="000000"/>
          <w:kern w:val="24"/>
          <w:sz w:val="32"/>
          <w:szCs w:val="32"/>
          <w:lang w:val="sr-Latn-RS" w:eastAsia="sr-Cyrl-RS"/>
        </w:rPr>
        <w:t xml:space="preserve">Projekat realizuju Građevinska škola Neimar iz Niša i Srednja škola iz Novog Travnika, Bosna i Hercegovina. Prva razmena učenika počinje u ponedeljak 23.5.2022. i trajaće do nedelje 30.5.2022. </w:t>
      </w:r>
    </w:p>
    <w:p w14:paraId="3A353283" w14:textId="6D567F18" w:rsidR="00447BC0" w:rsidRPr="00447BC0" w:rsidRDefault="0005668C" w:rsidP="00CA19AE">
      <w:pPr>
        <w:shd w:val="clear" w:color="auto" w:fill="FFFFFF"/>
        <w:spacing w:after="240" w:line="240" w:lineRule="auto"/>
        <w:jc w:val="both"/>
        <w:rPr>
          <w:rFonts w:ascii="Calibri" w:eastAsia="+mj-ea" w:hAnsi="Calibri" w:cs="Calibri"/>
          <w:color w:val="000000"/>
          <w:kern w:val="24"/>
          <w:sz w:val="32"/>
          <w:szCs w:val="32"/>
          <w:lang w:val="sr-Latn-RS" w:eastAsia="sr-Cyrl-RS"/>
        </w:rPr>
      </w:pPr>
      <w:r w:rsidRPr="00447BC0">
        <w:rPr>
          <w:rFonts w:ascii="Calibri" w:eastAsia="+mn-ea" w:hAnsi="Calibri" w:cs="+mn-cs"/>
          <w:color w:val="222222"/>
          <w:kern w:val="24"/>
          <w:sz w:val="28"/>
          <w:szCs w:val="28"/>
          <w:lang w:val="sr-Latn-RS" w:eastAsia="sr-Cyrl-RS"/>
        </w:rPr>
        <w:t>Ovaj projekat će doprineti većoj regionalnoj saradnji sa fokusom na mobilnost mladih, interkulturalnu razmenu, interkulturalno učenje sa fokusom na istoriju, kulturu, nasleđe i pomirenje.</w:t>
      </w:r>
      <w:r w:rsidR="00CA19AE">
        <w:rPr>
          <w:rFonts w:ascii="Calibri" w:eastAsia="+mj-ea" w:hAnsi="Calibri" w:cs="Calibri"/>
          <w:color w:val="000000"/>
          <w:kern w:val="24"/>
          <w:sz w:val="32"/>
          <w:szCs w:val="32"/>
          <w:lang w:val="sr-Latn-RS" w:eastAsia="sr-Cyrl-RS"/>
        </w:rPr>
        <w:t xml:space="preserve"> </w:t>
      </w:r>
      <w:r w:rsidRPr="00447BC0">
        <w:rPr>
          <w:rFonts w:ascii="Calibri" w:eastAsia="+mn-ea" w:hAnsi="Calibri" w:cs="+mn-cs"/>
          <w:color w:val="222222"/>
          <w:kern w:val="24"/>
          <w:sz w:val="28"/>
          <w:szCs w:val="28"/>
          <w:lang w:val="sr-Latn-RS" w:eastAsia="sr-Cyrl-RS"/>
        </w:rPr>
        <w:t>Dugoročno gledano, međusobna razmena i saradnja dve škole doprineće poboljšanju kvaliteta obrazovno-vaspitnog rada u školama, većoj motivaciji učenika, boljim rezultatima i prevenciji ranog napuštanja školovanja</w:t>
      </w:r>
      <w:r w:rsidRPr="00447BC0">
        <w:rPr>
          <w:rFonts w:ascii="Calibri" w:eastAsia="+mn-ea" w:hAnsi="Calibri" w:cs="+mn-cs"/>
          <w:color w:val="222222"/>
          <w:kern w:val="24"/>
          <w:sz w:val="28"/>
          <w:szCs w:val="28"/>
          <w:lang w:val="sr-Latn-RS" w:eastAsia="sr-Cyrl-RS"/>
        </w:rPr>
        <w:t>. Obe škole žele unaprediti veštine, navike učenika i prom</w:t>
      </w:r>
      <w:r w:rsidRPr="00447BC0">
        <w:rPr>
          <w:rFonts w:ascii="Calibri" w:eastAsia="+mn-ea" w:hAnsi="Calibri" w:cs="+mn-cs"/>
          <w:color w:val="222222"/>
          <w:kern w:val="24"/>
          <w:sz w:val="28"/>
          <w:szCs w:val="28"/>
          <w:lang w:eastAsia="sr-Cyrl-RS"/>
        </w:rPr>
        <w:t>e</w:t>
      </w:r>
      <w:r w:rsidRPr="00447BC0">
        <w:rPr>
          <w:rFonts w:ascii="Calibri" w:eastAsia="+mn-ea" w:hAnsi="Calibri" w:cs="+mn-cs"/>
          <w:color w:val="222222"/>
          <w:kern w:val="24"/>
          <w:sz w:val="28"/>
          <w:szCs w:val="28"/>
          <w:lang w:val="sr-Latn-RS" w:eastAsia="sr-Cyrl-RS"/>
        </w:rPr>
        <w:t>niti stavove nakon završetka projekta.</w:t>
      </w:r>
      <w:r w:rsidR="00CA19AE">
        <w:rPr>
          <w:rFonts w:ascii="Calibri" w:eastAsia="+mj-ea" w:hAnsi="Calibri" w:cs="Calibri"/>
          <w:color w:val="000000"/>
          <w:kern w:val="24"/>
          <w:sz w:val="32"/>
          <w:szCs w:val="32"/>
          <w:lang w:val="sr-Latn-RS" w:eastAsia="sr-Cyrl-RS"/>
        </w:rPr>
        <w:t xml:space="preserve"> </w:t>
      </w:r>
      <w:r w:rsidRPr="00447BC0">
        <w:rPr>
          <w:rFonts w:ascii="Calibri" w:eastAsia="+mn-ea" w:hAnsi="Calibri" w:cs="+mn-cs"/>
          <w:color w:val="222222"/>
          <w:kern w:val="24"/>
          <w:sz w:val="28"/>
          <w:szCs w:val="28"/>
          <w:lang w:val="sr-Latn-RS" w:eastAsia="sr-Cyrl-RS"/>
        </w:rPr>
        <w:t>Ovaj projekat će učenicima obe škole d</w:t>
      </w:r>
      <w:r w:rsidRPr="00447BC0">
        <w:rPr>
          <w:rFonts w:ascii="Calibri" w:eastAsia="+mn-ea" w:hAnsi="Calibri" w:cs="+mn-cs"/>
          <w:color w:val="222222"/>
          <w:kern w:val="24"/>
          <w:sz w:val="28"/>
          <w:szCs w:val="28"/>
          <w:lang w:eastAsia="sr-Cyrl-RS"/>
        </w:rPr>
        <w:t>ati</w:t>
      </w:r>
      <w:r w:rsidRPr="00447BC0">
        <w:rPr>
          <w:rFonts w:ascii="Calibri" w:eastAsia="+mn-ea" w:hAnsi="Calibri" w:cs="+mn-cs"/>
          <w:color w:val="222222"/>
          <w:kern w:val="24"/>
          <w:sz w:val="28"/>
          <w:szCs w:val="28"/>
          <w:lang w:val="sr-Latn-RS" w:eastAsia="sr-Cyrl-RS"/>
        </w:rPr>
        <w:t xml:space="preserve"> priliku da putuju, ostvare</w:t>
      </w:r>
      <w:r w:rsidRPr="00447BC0">
        <w:rPr>
          <w:rFonts w:ascii="Calibri" w:eastAsia="+mn-ea" w:hAnsi="Calibri" w:cs="+mn-cs"/>
          <w:color w:val="222222"/>
          <w:kern w:val="24"/>
          <w:sz w:val="28"/>
          <w:szCs w:val="28"/>
          <w:lang w:val="sr-Latn-RS" w:eastAsia="sr-Cyrl-RS"/>
        </w:rPr>
        <w:t xml:space="preserve"> kontakte sa nekim „drugačijim“ vršnjacima, da sklope prijateljstva, da se međusobno upoznaju i ujedine u pomirenju i izgradnji mira.</w:t>
      </w:r>
    </w:p>
    <w:p w14:paraId="25DF8D4E" w14:textId="77777777" w:rsidR="00447BC0" w:rsidRPr="00447BC0" w:rsidRDefault="00447BC0" w:rsidP="00447BC0">
      <w:pPr>
        <w:shd w:val="clear" w:color="auto" w:fill="FFFFFF"/>
        <w:spacing w:after="240" w:line="240" w:lineRule="auto"/>
        <w:jc w:val="both"/>
        <w:rPr>
          <w:rFonts w:ascii="Calibri" w:eastAsia="+mj-ea" w:hAnsi="Calibri" w:cs="Calibri"/>
          <w:color w:val="000000"/>
          <w:kern w:val="24"/>
          <w:sz w:val="28"/>
          <w:szCs w:val="28"/>
          <w:lang w:val="sr-Latn-RS" w:eastAsia="sr-Cyrl-RS"/>
        </w:rPr>
      </w:pPr>
      <w:r w:rsidRPr="00447BC0">
        <w:rPr>
          <w:rFonts w:ascii="Calibri" w:eastAsia="+mj-ea" w:hAnsi="Calibri" w:cs="Calibri"/>
          <w:noProof/>
          <w:color w:val="000000"/>
          <w:kern w:val="24"/>
          <w:sz w:val="28"/>
          <w:szCs w:val="28"/>
          <w:lang w:val="sr-Latn-RS" w:eastAsia="sr-Cyrl-RS"/>
        </w:rPr>
        <w:drawing>
          <wp:inline distT="0" distB="0" distL="0" distR="0" wp14:anchorId="2A2A1576" wp14:editId="2B8609DD">
            <wp:extent cx="2456815" cy="804545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7BC0">
        <w:rPr>
          <w:rFonts w:ascii="Calibri" w:eastAsia="+mj-ea" w:hAnsi="Calibri" w:cs="Calibri"/>
          <w:noProof/>
          <w:color w:val="000000"/>
          <w:kern w:val="24"/>
          <w:sz w:val="28"/>
          <w:szCs w:val="28"/>
          <w:lang w:val="sr-Latn-RS" w:eastAsia="sr-Cyrl-RS"/>
        </w:rPr>
        <w:t xml:space="preserve">           </w:t>
      </w:r>
      <w:r w:rsidRPr="00447BC0">
        <w:rPr>
          <w:rFonts w:ascii="Calibri" w:eastAsia="+mj-ea" w:hAnsi="Calibri" w:cs="Calibri"/>
          <w:noProof/>
          <w:color w:val="000000"/>
          <w:kern w:val="24"/>
          <w:sz w:val="28"/>
          <w:szCs w:val="28"/>
          <w:lang w:val="sr-Latn-RS" w:eastAsia="sr-Cyrl-RS"/>
        </w:rPr>
        <w:drawing>
          <wp:inline distT="0" distB="0" distL="0" distR="0" wp14:anchorId="50352D63" wp14:editId="231B2175">
            <wp:extent cx="2810510" cy="822960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3CA847" w14:textId="77777777" w:rsidR="00447BC0" w:rsidRPr="00447BC0" w:rsidRDefault="00447BC0" w:rsidP="00447BC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sr-Latn-RS"/>
        </w:rPr>
      </w:pPr>
      <w:r w:rsidRPr="00447BC0">
        <w:rPr>
          <w:rFonts w:ascii="Arial" w:eastAsia="Calibri" w:hAnsi="Arial" w:cs="Arial"/>
          <w:sz w:val="20"/>
          <w:szCs w:val="20"/>
          <w:lang w:val="sr-Latn-RS"/>
        </w:rPr>
        <w:t>Provided with the financial support of the European Union and the German</w:t>
      </w:r>
    </w:p>
    <w:p w14:paraId="42680317" w14:textId="5AB69273" w:rsidR="004D26EC" w:rsidRPr="00CA19AE" w:rsidRDefault="00447BC0" w:rsidP="00CA19A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sr-Latn-RS"/>
        </w:rPr>
      </w:pPr>
      <w:r w:rsidRPr="00447BC0">
        <w:rPr>
          <w:rFonts w:ascii="Arial" w:eastAsia="Calibri" w:hAnsi="Arial" w:cs="Arial"/>
          <w:sz w:val="20"/>
          <w:szCs w:val="20"/>
          <w:lang w:val="sr-Latn-RS"/>
        </w:rPr>
        <w:t>Federal Ministry for Economic Cooperation and Development.</w:t>
      </w:r>
    </w:p>
    <w:sectPr w:rsidR="004D26EC" w:rsidRPr="00CA19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5F55"/>
    <w:multiLevelType w:val="hybridMultilevel"/>
    <w:tmpl w:val="36B425F0"/>
    <w:lvl w:ilvl="0" w:tplc="E20EE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A8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87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CE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42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CC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44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ED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8A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58727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C0"/>
    <w:rsid w:val="0005668C"/>
    <w:rsid w:val="00447BC0"/>
    <w:rsid w:val="004D26EC"/>
    <w:rsid w:val="00CA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E34B"/>
  <w15:chartTrackingRefBased/>
  <w15:docId w15:val="{CD2FAEC1-ACD2-46EA-A7B0-C100E69D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2022-05-20T07:15:00Z</dcterms:created>
  <dcterms:modified xsi:type="dcterms:W3CDTF">2022-05-20T08:22:00Z</dcterms:modified>
</cp:coreProperties>
</file>